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EB1" w:rsidRDefault="00C73923">
      <w:r>
        <w:t>Capacitors and Calculus – Lenhart Physics</w:t>
      </w:r>
      <w:bookmarkStart w:id="0" w:name="_GoBack"/>
      <w:bookmarkEnd w:id="0"/>
    </w:p>
    <w:p w:rsidR="00C73923" w:rsidRDefault="00C73923"/>
    <w:p w:rsidR="00C73923" w:rsidRPr="00C73923" w:rsidRDefault="00C73923" w:rsidP="00C73923">
      <w:pPr>
        <w:shd w:val="clear" w:color="auto" w:fill="FFFFFF"/>
        <w:spacing w:after="150" w:line="384" w:lineRule="atLeast"/>
        <w:ind w:right="225"/>
        <w:rPr>
          <w:rFonts w:ascii="Helvetica" w:eastAsia="Times New Roman" w:hAnsi="Helvetica" w:cs="Helvetica"/>
          <w:color w:val="2C3E50"/>
          <w:sz w:val="24"/>
          <w:szCs w:val="24"/>
        </w:rPr>
      </w:pPr>
      <w:r w:rsidRPr="00C73923">
        <w:rPr>
          <w:rFonts w:ascii="Helvetica" w:eastAsia="Times New Roman" w:hAnsi="Helvetica" w:cs="Helvetica"/>
          <w:color w:val="2C3E50"/>
          <w:sz w:val="24"/>
          <w:szCs w:val="24"/>
        </w:rPr>
        <w:t>One of the fundamental principles of calculus is a process called </w:t>
      </w:r>
      <w:r w:rsidRPr="00C73923">
        <w:rPr>
          <w:rFonts w:ascii="Helvetica" w:eastAsia="Times New Roman" w:hAnsi="Helvetica" w:cs="Helvetica"/>
          <w:i/>
          <w:iCs/>
          <w:color w:val="2C3E50"/>
          <w:sz w:val="24"/>
          <w:szCs w:val="24"/>
        </w:rPr>
        <w:t>integration</w:t>
      </w:r>
      <w:r w:rsidRPr="00C73923">
        <w:rPr>
          <w:rFonts w:ascii="Helvetica" w:eastAsia="Times New Roman" w:hAnsi="Helvetica" w:cs="Helvetica"/>
          <w:color w:val="2C3E50"/>
          <w:sz w:val="24"/>
          <w:szCs w:val="24"/>
        </w:rPr>
        <w:t>. This principle is important to understand because it is manifested in the behavior of capacitance. Thankfully, there are more familiar physical systems which also manifest the process of integration, making it easier to comprehend.</w:t>
      </w:r>
    </w:p>
    <w:p w:rsidR="00C73923" w:rsidRPr="00C73923" w:rsidRDefault="00C73923" w:rsidP="00C73923">
      <w:pPr>
        <w:shd w:val="clear" w:color="auto" w:fill="FFFFFF"/>
        <w:spacing w:after="150" w:line="384" w:lineRule="atLeast"/>
        <w:ind w:right="225"/>
        <w:rPr>
          <w:rFonts w:ascii="Helvetica" w:eastAsia="Times New Roman" w:hAnsi="Helvetica" w:cs="Helvetica"/>
          <w:color w:val="2C3E50"/>
          <w:sz w:val="24"/>
          <w:szCs w:val="24"/>
        </w:rPr>
      </w:pPr>
      <w:r w:rsidRPr="00C73923">
        <w:rPr>
          <w:rFonts w:ascii="Helvetica" w:eastAsia="Times New Roman" w:hAnsi="Helvetica" w:cs="Helvetica"/>
          <w:color w:val="2C3E50"/>
          <w:sz w:val="24"/>
          <w:szCs w:val="24"/>
        </w:rPr>
        <w:t>If we introduce a constant flow of water into a cylindrical tank with water, the water level inside that tank will rise at a constant rate over time:</w:t>
      </w:r>
    </w:p>
    <w:p w:rsidR="00C73923" w:rsidRPr="00C73923" w:rsidRDefault="00C73923" w:rsidP="00C73923">
      <w:pPr>
        <w:shd w:val="clear" w:color="auto" w:fill="FFFFFF"/>
        <w:spacing w:after="150" w:line="384" w:lineRule="atLeast"/>
        <w:ind w:right="225"/>
        <w:rPr>
          <w:rFonts w:ascii="Helvetica" w:eastAsia="Times New Roman" w:hAnsi="Helvetica" w:cs="Helvetica"/>
          <w:color w:val="2C3E50"/>
          <w:sz w:val="24"/>
          <w:szCs w:val="24"/>
        </w:rPr>
      </w:pPr>
      <w:r w:rsidRPr="00C73923">
        <w:rPr>
          <w:rFonts w:ascii="Helvetica" w:eastAsia="Times New Roman" w:hAnsi="Helvetica" w:cs="Helvetica"/>
          <w:noProof/>
          <w:color w:val="2C3E50"/>
          <w:sz w:val="24"/>
          <w:szCs w:val="24"/>
        </w:rPr>
        <w:drawing>
          <wp:inline distT="0" distB="0" distL="0" distR="0">
            <wp:extent cx="2047875" cy="1533525"/>
            <wp:effectExtent l="0" t="0" r="9525" b="9525"/>
            <wp:docPr id="1" name="Picture 1" descr="http://sub.allaboutcircuits.com/images/quiz/01383x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b.allaboutcircuits.com/images/quiz/01383x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7875" cy="1533525"/>
                    </a:xfrm>
                    <a:prstGeom prst="rect">
                      <a:avLst/>
                    </a:prstGeom>
                    <a:noFill/>
                    <a:ln>
                      <a:noFill/>
                    </a:ln>
                  </pic:spPr>
                </pic:pic>
              </a:graphicData>
            </a:graphic>
          </wp:inline>
        </w:drawing>
      </w:r>
      <w:r w:rsidRPr="00C73923">
        <w:rPr>
          <w:rFonts w:ascii="Helvetica" w:eastAsia="Times New Roman" w:hAnsi="Helvetica" w:cs="Helvetica"/>
          <w:color w:val="2C3E50"/>
          <w:sz w:val="24"/>
          <w:szCs w:val="24"/>
        </w:rPr>
        <w:br/>
      </w:r>
      <w:r w:rsidRPr="00C73923">
        <w:rPr>
          <w:rFonts w:ascii="Helvetica" w:eastAsia="Times New Roman" w:hAnsi="Helvetica" w:cs="Helvetica"/>
          <w:color w:val="2C3E50"/>
          <w:sz w:val="24"/>
          <w:szCs w:val="24"/>
        </w:rPr>
        <w:br w:type="textWrapping" w:clear="all"/>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73923" w:rsidRPr="00C73923" w:rsidTr="00C73923">
        <w:tc>
          <w:tcPr>
            <w:tcW w:w="0" w:type="auto"/>
            <w:shd w:val="clear" w:color="auto" w:fill="FFFFFF"/>
            <w:tcMar>
              <w:top w:w="0" w:type="dxa"/>
              <w:left w:w="0" w:type="dxa"/>
              <w:bottom w:w="0" w:type="dxa"/>
              <w:right w:w="0" w:type="dxa"/>
            </w:tcMar>
            <w:vAlign w:val="center"/>
            <w:hideMark/>
          </w:tcPr>
          <w:tbl>
            <w:tblPr>
              <w:tblW w:w="0" w:type="auto"/>
              <w:jc w:val="center"/>
              <w:tblCellMar>
                <w:top w:w="30" w:type="dxa"/>
                <w:left w:w="30" w:type="dxa"/>
                <w:bottom w:w="30" w:type="dxa"/>
                <w:right w:w="30" w:type="dxa"/>
              </w:tblCellMar>
              <w:tblLook w:val="04A0" w:firstRow="1" w:lastRow="0" w:firstColumn="1" w:lastColumn="0" w:noHBand="0" w:noVBand="1"/>
            </w:tblPr>
            <w:tblGrid>
              <w:gridCol w:w="6"/>
            </w:tblGrid>
            <w:tr w:rsidR="00C73923" w:rsidRPr="00C73923">
              <w:trPr>
                <w:jc w:val="center"/>
              </w:trPr>
              <w:tc>
                <w:tcPr>
                  <w:tcW w:w="0" w:type="auto"/>
                  <w:shd w:val="clear" w:color="auto" w:fill="auto"/>
                  <w:noWrap/>
                  <w:tcMar>
                    <w:top w:w="0" w:type="dxa"/>
                    <w:left w:w="0" w:type="dxa"/>
                    <w:bottom w:w="0" w:type="dxa"/>
                    <w:right w:w="0" w:type="dxa"/>
                  </w:tcMar>
                  <w:vAlign w:val="center"/>
                  <w:hideMark/>
                </w:tcPr>
                <w:p w:rsidR="00C73923" w:rsidRPr="00C73923" w:rsidRDefault="00C73923" w:rsidP="00C73923">
                  <w:pPr>
                    <w:spacing w:after="0" w:line="240" w:lineRule="auto"/>
                    <w:rPr>
                      <w:rFonts w:ascii="Helvetica" w:eastAsia="Times New Roman" w:hAnsi="Helvetica" w:cs="Helvetica"/>
                      <w:color w:val="2C3E50"/>
                      <w:sz w:val="24"/>
                      <w:szCs w:val="24"/>
                    </w:rPr>
                  </w:pPr>
                </w:p>
              </w:tc>
            </w:tr>
          </w:tbl>
          <w:p w:rsidR="00C73923" w:rsidRPr="00C73923" w:rsidRDefault="00C73923" w:rsidP="00C73923">
            <w:pPr>
              <w:spacing w:after="0" w:line="240" w:lineRule="auto"/>
              <w:rPr>
                <w:rFonts w:ascii="Helvetica" w:eastAsia="Times New Roman" w:hAnsi="Helvetica" w:cs="Helvetica"/>
                <w:color w:val="2C3E50"/>
                <w:sz w:val="24"/>
                <w:szCs w:val="24"/>
              </w:rPr>
            </w:pPr>
          </w:p>
        </w:tc>
      </w:tr>
    </w:tbl>
    <w:p w:rsidR="00C73923" w:rsidRPr="00C73923" w:rsidRDefault="00C73923" w:rsidP="00C73923">
      <w:pPr>
        <w:shd w:val="clear" w:color="auto" w:fill="FFFFFF"/>
        <w:spacing w:after="150" w:line="384" w:lineRule="atLeast"/>
        <w:ind w:right="225"/>
        <w:rPr>
          <w:rFonts w:ascii="Helvetica" w:eastAsia="Times New Roman" w:hAnsi="Helvetica" w:cs="Helvetica"/>
          <w:color w:val="2C3E50"/>
          <w:sz w:val="24"/>
          <w:szCs w:val="24"/>
        </w:rPr>
      </w:pPr>
      <w:r w:rsidRPr="00C73923">
        <w:rPr>
          <w:rFonts w:ascii="Helvetica" w:eastAsia="Times New Roman" w:hAnsi="Helvetica" w:cs="Helvetica"/>
          <w:color w:val="2C3E50"/>
          <w:sz w:val="24"/>
          <w:szCs w:val="24"/>
        </w:rPr>
        <w:t>In calculus terms, we would say that the tank </w:t>
      </w:r>
      <w:r w:rsidRPr="00C73923">
        <w:rPr>
          <w:rFonts w:ascii="Helvetica" w:eastAsia="Times New Roman" w:hAnsi="Helvetica" w:cs="Helvetica"/>
          <w:i/>
          <w:iCs/>
          <w:color w:val="2C3E50"/>
          <w:sz w:val="24"/>
          <w:szCs w:val="24"/>
        </w:rPr>
        <w:t>integrates</w:t>
      </w:r>
      <w:r w:rsidRPr="00C73923">
        <w:rPr>
          <w:rFonts w:ascii="Helvetica" w:eastAsia="Times New Roman" w:hAnsi="Helvetica" w:cs="Helvetica"/>
          <w:color w:val="2C3E50"/>
          <w:sz w:val="24"/>
          <w:szCs w:val="24"/>
        </w:rPr>
        <w:t> water flow into water height. That is, one quantity (flow) dictates the rate-of-change over time of another quantity (height).</w:t>
      </w:r>
    </w:p>
    <w:p w:rsidR="00C73923" w:rsidRPr="00C73923" w:rsidRDefault="00C73923" w:rsidP="00C73923">
      <w:pPr>
        <w:shd w:val="clear" w:color="auto" w:fill="FFFFFF"/>
        <w:spacing w:after="150" w:line="384" w:lineRule="atLeast"/>
        <w:ind w:right="225"/>
        <w:rPr>
          <w:rFonts w:ascii="Helvetica" w:eastAsia="Times New Roman" w:hAnsi="Helvetica" w:cs="Helvetica"/>
          <w:color w:val="2C3E50"/>
          <w:sz w:val="24"/>
          <w:szCs w:val="24"/>
        </w:rPr>
      </w:pPr>
      <w:r w:rsidRPr="00C73923">
        <w:rPr>
          <w:rFonts w:ascii="Helvetica" w:eastAsia="Times New Roman" w:hAnsi="Helvetica" w:cs="Helvetica"/>
          <w:color w:val="2C3E50"/>
          <w:sz w:val="24"/>
          <w:szCs w:val="24"/>
        </w:rPr>
        <w:t>Like the water tank, electrical </w:t>
      </w:r>
      <w:r w:rsidRPr="00C73923">
        <w:rPr>
          <w:rFonts w:ascii="Helvetica" w:eastAsia="Times New Roman" w:hAnsi="Helvetica" w:cs="Helvetica"/>
          <w:b/>
          <w:bCs/>
          <w:color w:val="2C3E50"/>
          <w:sz w:val="24"/>
          <w:szCs w:val="24"/>
        </w:rPr>
        <w:t>capacitance</w:t>
      </w:r>
      <w:r w:rsidRPr="00C73923">
        <w:rPr>
          <w:rFonts w:ascii="Helvetica" w:eastAsia="Times New Roman" w:hAnsi="Helvetica" w:cs="Helvetica"/>
          <w:color w:val="2C3E50"/>
          <w:sz w:val="24"/>
          <w:szCs w:val="24"/>
        </w:rPr>
        <w:t> also exhibits the phenomenon of integration with respect to time. Which electrical quantity (voltage or current) dictates the rate-of-change over time of which other quantity (voltage or current) in a capacitance? Or, to re-phrase the question, which quantity (voltage or current), when maintained at a constant value, results in which other quantity (current or voltage) steadily ramping either up or down over time?</w:t>
      </w:r>
    </w:p>
    <w:p w:rsidR="00C73923" w:rsidRDefault="00C73923" w:rsidP="00C73923">
      <w:hyperlink r:id="rId5" w:anchor="3" w:history="1">
        <w:r w:rsidRPr="00C73923">
          <w:rPr>
            <w:rFonts w:ascii="Helvetica" w:eastAsia="Times New Roman" w:hAnsi="Helvetica" w:cs="Helvetica"/>
            <w:color w:val="2C3E50"/>
            <w:sz w:val="24"/>
            <w:szCs w:val="24"/>
            <w:shd w:val="clear" w:color="auto" w:fill="FFFFFF"/>
          </w:rPr>
          <w:t>Reveal answer</w:t>
        </w:r>
      </w:hyperlink>
    </w:p>
    <w:sectPr w:rsidR="00C73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923"/>
    <w:rsid w:val="00281229"/>
    <w:rsid w:val="00577EB1"/>
    <w:rsid w:val="00C73923"/>
    <w:rsid w:val="00DF3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B7411-F57F-4121-B4CA-A85E7029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39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3923"/>
  </w:style>
  <w:style w:type="character" w:styleId="Hyperlink">
    <w:name w:val="Hyperlink"/>
    <w:basedOn w:val="DefaultParagraphFont"/>
    <w:uiPriority w:val="99"/>
    <w:semiHidden/>
    <w:unhideWhenUsed/>
    <w:rsid w:val="00C739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09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laboutcircuits.com/worksheets/capacitanc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Lenhart</dc:creator>
  <cp:keywords/>
  <dc:description/>
  <cp:lastModifiedBy>Scott Lenhart</cp:lastModifiedBy>
  <cp:revision>1</cp:revision>
  <dcterms:created xsi:type="dcterms:W3CDTF">2016-02-02T13:04:00Z</dcterms:created>
  <dcterms:modified xsi:type="dcterms:W3CDTF">2016-02-02T13:06:00Z</dcterms:modified>
</cp:coreProperties>
</file>